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44"/>
          <w:szCs w:val="44"/>
          <w:highlight w:val="white"/>
          <w:lang w:val="en-US" w:eastAsia="zh-CN"/>
        </w:rPr>
      </w:pPr>
      <w:r>
        <w:rPr>
          <w:rFonts w:hint="default" w:ascii="宋体" w:hAnsi="宋体"/>
          <w:sz w:val="44"/>
          <w:szCs w:val="44"/>
          <w:highlight w:val="white"/>
          <w:lang w:val="en-US" w:eastAsia="zh-CN"/>
        </w:rPr>
        <w:t>皖江江北新兴产业集中区大龙湾片区办公区部分混凝土场地破除复绿工程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44"/>
          <w:szCs w:val="44"/>
          <w:u w:val="none"/>
          <w:lang w:val="en-US" w:eastAsia="zh-CN"/>
        </w:rPr>
      </w:pPr>
      <w:r>
        <w:rPr>
          <w:rFonts w:hint="eastAsia" w:ascii="宋体" w:hAnsi="宋体"/>
          <w:sz w:val="44"/>
          <w:szCs w:val="44"/>
          <w:highlight w:val="white"/>
          <w:lang w:val="en-US" w:eastAsia="zh-CN"/>
        </w:rPr>
        <w:t>工程量清单</w:t>
      </w:r>
    </w:p>
    <w:p>
      <w:pPr>
        <w:spacing w:line="400" w:lineRule="exact"/>
        <w:jc w:val="center"/>
        <w:rPr>
          <w:rFonts w:ascii="宋体" w:hAnsi="宋体"/>
          <w:sz w:val="24"/>
          <w:szCs w:val="24"/>
          <w:highlight w:val="white"/>
        </w:rPr>
      </w:pPr>
    </w:p>
    <w:p>
      <w:pPr>
        <w:spacing w:line="400" w:lineRule="exact"/>
        <w:jc w:val="center"/>
        <w:rPr>
          <w:rFonts w:ascii="宋体" w:hAnsi="宋体"/>
          <w:sz w:val="24"/>
          <w:szCs w:val="24"/>
          <w:highlight w:val="white"/>
        </w:rPr>
      </w:pPr>
    </w:p>
    <w:tbl>
      <w:tblPr>
        <w:tblStyle w:val="2"/>
        <w:tblW w:w="7939" w:type="dxa"/>
        <w:tblInd w:w="0" w:type="dxa"/>
        <w:tblLayout w:type="autofit"/>
        <w:tblCellMar>
          <w:top w:w="0" w:type="dxa"/>
          <w:left w:w="0" w:type="dxa"/>
          <w:bottom w:w="0" w:type="dxa"/>
          <w:right w:w="0" w:type="dxa"/>
        </w:tblCellMar>
      </w:tblPr>
      <w:tblGrid>
        <w:gridCol w:w="750"/>
        <w:gridCol w:w="1950"/>
        <w:gridCol w:w="2811"/>
        <w:gridCol w:w="1241"/>
        <w:gridCol w:w="1187"/>
      </w:tblGrid>
      <w:tr>
        <w:tblPrEx>
          <w:tblCellMar>
            <w:top w:w="0" w:type="dxa"/>
            <w:left w:w="0" w:type="dxa"/>
            <w:bottom w:w="0" w:type="dxa"/>
            <w:right w:w="0" w:type="dxa"/>
          </w:tblCellMar>
        </w:tblPrEx>
        <w:trPr>
          <w:trHeight w:val="375" w:hRule="atLeast"/>
        </w:trPr>
        <w:tc>
          <w:tcPr>
            <w:tcW w:w="750" w:type="dxa"/>
            <w:vMerge w:val="restart"/>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50" w:type="dxa"/>
            <w:vMerge w:val="restart"/>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2811" w:type="dxa"/>
            <w:vMerge w:val="restart"/>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项目特征描述</w:t>
            </w:r>
          </w:p>
        </w:tc>
        <w:tc>
          <w:tcPr>
            <w:tcW w:w="1241" w:type="dxa"/>
            <w:vMerge w:val="restart"/>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工程量</w:t>
            </w:r>
          </w:p>
        </w:tc>
      </w:tr>
      <w:tr>
        <w:tblPrEx>
          <w:tblCellMar>
            <w:top w:w="0" w:type="dxa"/>
            <w:left w:w="0" w:type="dxa"/>
            <w:bottom w:w="0" w:type="dxa"/>
            <w:right w:w="0" w:type="dxa"/>
          </w:tblCellMar>
        </w:tblPrEx>
        <w:trPr>
          <w:trHeight w:val="375" w:hRule="atLeast"/>
        </w:trPr>
        <w:tc>
          <w:tcPr>
            <w:tcW w:w="750"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0"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11"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1"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0" w:hRule="atLeast"/>
        </w:trPr>
        <w:tc>
          <w:tcPr>
            <w:tcW w:w="750"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0"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11"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1" w:type="dxa"/>
            <w:vMerge w:val="continue"/>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拆除混凝土面层</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1、厚度：10cm</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45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拆除混凝土基层</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砖、石</w:t>
            </w:r>
            <w:r>
              <w:rPr>
                <w:rFonts w:hint="eastAsia" w:ascii="宋体" w:hAnsi="宋体" w:eastAsia="宋体" w:cs="宋体"/>
                <w:i w:val="0"/>
                <w:color w:val="000000"/>
                <w:kern w:val="0"/>
                <w:sz w:val="24"/>
                <w:szCs w:val="24"/>
                <w:u w:val="none"/>
                <w:lang w:val="en-US" w:eastAsia="zh-CN" w:bidi="ar"/>
              </w:rPr>
              <w:t>厚度：40cm</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16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回填方及压实</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1、密实度要求：符合规范要求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2、填方材料要求：黄土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3、填方来源、运距：取土场及运距投标人确定</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r>
      <w:tr>
        <w:tblPrEx>
          <w:tblCellMar>
            <w:top w:w="0" w:type="dxa"/>
            <w:left w:w="0" w:type="dxa"/>
            <w:bottom w:w="0" w:type="dxa"/>
            <w:right w:w="0" w:type="dxa"/>
          </w:tblCellMar>
        </w:tblPrEx>
        <w:trPr>
          <w:trHeight w:val="57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铺种草皮</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1、草皮种类：草皮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2、养护期：一年</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45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移植香樟</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1、养护期：一年</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450" w:hRule="atLeast"/>
        </w:trPr>
        <w:tc>
          <w:tcPr>
            <w:tcW w:w="7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安砌混凝土侧石</w:t>
            </w:r>
          </w:p>
        </w:tc>
        <w:tc>
          <w:tcPr>
            <w:tcW w:w="281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1、与现状侧石规格一致</w:t>
            </w:r>
          </w:p>
        </w:tc>
        <w:tc>
          <w:tcPr>
            <w:tcW w:w="1241"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8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4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垃圾外运</w:t>
            </w:r>
          </w:p>
        </w:tc>
        <w:tc>
          <w:tcPr>
            <w:tcW w:w="28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1、运距投标人确定</w:t>
            </w:r>
          </w:p>
        </w:tc>
        <w:tc>
          <w:tcPr>
            <w:tcW w:w="12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1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spacing w:line="400" w:lineRule="exact"/>
        <w:jc w:val="both"/>
        <w:rPr>
          <w:rFonts w:ascii="宋体" w:hAnsi="宋体"/>
          <w:sz w:val="24"/>
          <w:szCs w:val="24"/>
          <w:highlight w:val="white"/>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2036F"/>
    <w:rsid w:val="37F2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2020-07-27T03:59:00Z</dcterms:created>
  <dc:creator>何琪慧</dc:creator>
  <cp:lastModifiedBy>何琪慧</cp:lastModifiedBy>
  <dcterms:modified xsi:type="dcterms:W3CDTF">2020-07-27T04:00:03Z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