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default" w:ascii="宋体" w:hAnsi="宋体"/>
          <w:sz w:val="44"/>
          <w:szCs w:val="44"/>
          <w:highlight w:val="white"/>
          <w:lang w:val="en-US" w:eastAsia="zh-CN"/>
        </w:rPr>
        <w:t>皖江江北新兴产业集中区</w:t>
      </w:r>
      <w:r>
        <w:rPr>
          <w:rFonts w:hint="eastAsia" w:ascii="宋体" w:hAnsi="宋体"/>
          <w:sz w:val="44"/>
          <w:szCs w:val="44"/>
          <w:highlight w:val="white"/>
          <w:lang w:val="en-US" w:eastAsia="zh-CN"/>
        </w:rPr>
        <w:t>大龙湾片区</w:t>
      </w:r>
      <w:r>
        <w:rPr>
          <w:rFonts w:hint="default" w:ascii="宋体" w:hAnsi="宋体"/>
          <w:sz w:val="44"/>
          <w:szCs w:val="44"/>
          <w:highlight w:val="white"/>
          <w:lang w:val="en-US" w:eastAsia="zh-CN"/>
        </w:rPr>
        <w:t>办公区域</w:t>
      </w:r>
      <w:r>
        <w:rPr>
          <w:rFonts w:hint="eastAsia" w:ascii="宋体" w:hAnsi="宋体"/>
          <w:sz w:val="44"/>
          <w:szCs w:val="44"/>
          <w:highlight w:val="white"/>
          <w:lang w:val="en-US" w:eastAsia="zh-CN"/>
        </w:rPr>
        <w:t>部分围墙拆建</w:t>
      </w:r>
      <w:r>
        <w:rPr>
          <w:rFonts w:hint="default" w:ascii="宋体" w:hAnsi="宋体"/>
          <w:sz w:val="44"/>
          <w:szCs w:val="44"/>
          <w:highlight w:val="white"/>
          <w:lang w:val="en-US" w:eastAsia="zh-CN"/>
        </w:rPr>
        <w:t>工程</w:t>
      </w:r>
      <w:r>
        <w:rPr>
          <w:rFonts w:hint="eastAsia" w:ascii="宋体" w:hAnsi="宋体"/>
          <w:sz w:val="44"/>
          <w:szCs w:val="44"/>
          <w:highlight w:val="white"/>
          <w:lang w:val="en-US" w:eastAsia="zh-CN"/>
        </w:rPr>
        <w:t>工程量清单</w:t>
      </w:r>
    </w:p>
    <w:bookmarkEnd w:id="0"/>
    <w:p>
      <w:pPr>
        <w:spacing w:line="400" w:lineRule="exact"/>
        <w:jc w:val="center"/>
        <w:rPr>
          <w:rFonts w:ascii="宋体" w:hAnsi="宋体"/>
          <w:sz w:val="24"/>
          <w:szCs w:val="24"/>
          <w:highlight w:val="white"/>
        </w:rPr>
      </w:pPr>
    </w:p>
    <w:p>
      <w:pPr>
        <w:spacing w:line="400" w:lineRule="exact"/>
        <w:jc w:val="center"/>
        <w:rPr>
          <w:rFonts w:ascii="宋体" w:hAnsi="宋体"/>
          <w:sz w:val="24"/>
          <w:szCs w:val="24"/>
          <w:highlight w:val="white"/>
        </w:rPr>
      </w:pPr>
    </w:p>
    <w:tbl>
      <w:tblPr>
        <w:tblStyle w:val="2"/>
        <w:tblW w:w="625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3751"/>
        <w:gridCol w:w="731"/>
        <w:gridCol w:w="1143"/>
      </w:tblGrid>
      <w:tr>
        <w:trPr>
          <w:trHeight w:val="99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工程量</w:t>
            </w:r>
          </w:p>
        </w:tc>
      </w:tr>
      <w:tr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拆除砖砌围墙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31.875</w:t>
            </w:r>
          </w:p>
        </w:tc>
      </w:tr>
      <w:tr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汽车运建筑垃圾 ~运距5(km)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0.31875</w:t>
            </w:r>
          </w:p>
        </w:tc>
      </w:tr>
      <w:tr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人工拆除灯具、监控、电源箱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工日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砖砌围墙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（原样恢复）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31.875</w:t>
            </w:r>
          </w:p>
        </w:tc>
      </w:tr>
      <w:tr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原有铁艺围墙拆除并安装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112.5</w:t>
            </w:r>
          </w:p>
        </w:tc>
      </w:tr>
      <w:tr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新购铁艺围墙安装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（原样恢复）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22.5</w:t>
            </w:r>
          </w:p>
        </w:tc>
      </w:tr>
      <w:tr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立柱灯安装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（原样恢复）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庭院灯安装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（原样恢复）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安装监控、电源箱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（原样恢复）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半硬质塑料管敷设 埋地敷设 外径(mm) 20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22.5</w:t>
            </w:r>
          </w:p>
        </w:tc>
      </w:tr>
      <w:tr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管内穿线 穿照明线 铜芯导线截面(mm2) ≤1.5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22.5</w:t>
            </w:r>
          </w:p>
        </w:tc>
      </w:tr>
      <w:tr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人工拆除侧石 混凝土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砌体及混凝土拆除 人工拆除 混凝土 无筋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0.465</w:t>
            </w:r>
          </w:p>
        </w:tc>
      </w:tr>
      <w:tr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拆除沥青柏油类路面层 人工拆除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</w:tr>
      <w:tr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安砌 混凝土 侧石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0.31</w:t>
            </w:r>
          </w:p>
        </w:tc>
      </w:tr>
      <w:tr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人工铺装侧缘石 混凝土垫层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0.465</w:t>
            </w:r>
          </w:p>
        </w:tc>
      </w:tr>
      <w:tr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苗木起挖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苗木栽植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（指定地点栽植）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汽车运建筑垃圾 ~运距5(km)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0.0961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32FF5"/>
    <w:rsid w:val="4453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2020-05-28T01:03:00Z</dcterms:created>
  <dc:creator>何琪慧</dc:creator>
  <cp:lastModifiedBy>何琪慧</cp:lastModifiedBy>
  <dcterms:modified xsi:type="dcterms:W3CDTF">2020-05-28T01:04:00Z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